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27AC7454" w:rsidR="007900C1" w:rsidRDefault="007900C1" w:rsidP="008C0AF9">
      <w:pPr>
        <w:spacing w:before="120" w:after="120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DF7830C" w14:textId="59E320A7" w:rsidR="008C0AF9" w:rsidRPr="00836345" w:rsidRDefault="008C0AF9" w:rsidP="008C0AF9">
      <w:pPr>
        <w:spacing w:before="120" w:after="120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6345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Výzva: IROP-CLLD-Q634-511-001 – aktualizácia č. </w:t>
      </w:r>
      <w:r w:rsidR="001E00B0">
        <w:rPr>
          <w:rFonts w:asciiTheme="minorHAnsi" w:hAnsiTheme="minorHAnsi" w:cstheme="minorHAnsi"/>
          <w:b/>
          <w:color w:val="1F497D"/>
          <w:sz w:val="28"/>
          <w:szCs w:val="28"/>
        </w:rPr>
        <w:t>2</w:t>
      </w:r>
    </w:p>
    <w:p w14:paraId="2796E043" w14:textId="0DAE2D1C" w:rsidR="008C0AF9" w:rsidRPr="00836345" w:rsidRDefault="008C0AF9" w:rsidP="00836345">
      <w:pPr>
        <w:spacing w:before="120" w:after="120"/>
        <w:rPr>
          <w:rFonts w:asciiTheme="minorHAnsi" w:hAnsiTheme="minorHAnsi" w:cstheme="minorHAnsi"/>
          <w:b/>
          <w:color w:val="1F497D"/>
          <w:sz w:val="28"/>
          <w:szCs w:val="28"/>
        </w:rPr>
      </w:pPr>
      <w:bookmarkStart w:id="0" w:name="_Hlk135159691"/>
      <w:r w:rsidRPr="00836345">
        <w:rPr>
          <w:rFonts w:asciiTheme="minorHAnsi" w:hAnsiTheme="minorHAnsi" w:cstheme="minorHAnsi"/>
          <w:b/>
          <w:color w:val="1F497D"/>
          <w:sz w:val="28"/>
          <w:szCs w:val="28"/>
        </w:rPr>
        <w:t>Príloha č. 2 výzvy</w:t>
      </w:r>
    </w:p>
    <w:bookmarkEnd w:id="0"/>
    <w:p w14:paraId="288EA012" w14:textId="129115F0" w:rsidR="008C0AF9" w:rsidRDefault="008C0AF9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3035C12" w14:textId="1F849A72" w:rsidR="008C0AF9" w:rsidRDefault="008C0AF9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D25C036" w14:textId="77777777" w:rsidR="008C0AF9" w:rsidRPr="009B0208" w:rsidRDefault="008C0AF9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bookmarkStart w:id="1" w:name="_Hlk135159697"/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bookmarkEnd w:id="1"/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36345" w:rsidRPr="00DE6162" w14:paraId="29365166" w14:textId="77777777" w:rsidTr="00731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0D43D09" w14:textId="77777777" w:rsidR="00836345" w:rsidRPr="00DE6162" w:rsidRDefault="00836345" w:rsidP="007313E1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36345" w:rsidRPr="00DE6162" w14:paraId="0284DCCB" w14:textId="77777777" w:rsidTr="007313E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DD7958" w14:textId="77777777" w:rsidR="00836345" w:rsidRPr="00DE6162" w:rsidRDefault="00836345" w:rsidP="007313E1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36345" w:rsidRPr="00DE6162" w14:paraId="16F0A60C" w14:textId="77777777" w:rsidTr="007313E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71796" w14:textId="77777777" w:rsidR="00836345" w:rsidRPr="00DE6162" w:rsidRDefault="00836345" w:rsidP="007313E1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36345" w:rsidRPr="00DE6162" w14:paraId="14CF835D" w14:textId="77777777" w:rsidTr="007313E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1EC898" w14:textId="77777777" w:rsidR="00836345" w:rsidRPr="00DE6162" w:rsidRDefault="00836345" w:rsidP="007313E1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D022578" w14:textId="77777777" w:rsidR="00836345" w:rsidRPr="00DE6162" w:rsidRDefault="00836345" w:rsidP="007313E1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7664338C" w14:textId="77777777" w:rsidR="00836345" w:rsidRPr="00DE6162" w:rsidRDefault="00836345" w:rsidP="007313E1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7D1A8295" w14:textId="77777777" w:rsidR="00836345" w:rsidRPr="00DE6162" w:rsidRDefault="00836345" w:rsidP="007313E1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7D1090BA" w14:textId="77777777" w:rsidR="00836345" w:rsidRPr="00DE6162" w:rsidRDefault="00836345" w:rsidP="007313E1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marketingových aktivít,</w:t>
            </w:r>
          </w:p>
          <w:p w14:paraId="7F8D207C" w14:textId="77777777" w:rsidR="00836345" w:rsidRPr="00DE6162" w:rsidRDefault="00836345" w:rsidP="007313E1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64242B0F" w14:textId="77777777" w:rsidR="00836345" w:rsidRPr="00DE6162" w:rsidRDefault="00836345" w:rsidP="007313E1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A94BB95" w14:textId="77777777" w:rsidR="00836345" w:rsidRPr="00DE6162" w:rsidRDefault="00836345" w:rsidP="007313E1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je na všetky oblasti ekonomických činností na území MAS, s výnimkou nasledovných (definovaných podľa Štatistickej klasifikácie ekonomických činností SK NACE, rev. 2</w:t>
            </w:r>
            <w:r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16ED3ADE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5F8142B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392A6DF8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2BC98D59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6E406965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8182E45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12B3DA2C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18C579F1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12 – Výroba tabakových výrobkov</w:t>
            </w:r>
          </w:p>
          <w:p w14:paraId="6AE3CF9D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0A0BBA9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714C2586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11486B6F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224E4E94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312941A8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16C8A539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2A77315B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39AD4BFF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S – Ostatné činnosti – neoprávnené sú nasledovné divízie</w:t>
            </w:r>
          </w:p>
          <w:p w14:paraId="48494A9B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EBFF566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653622C5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68E0BBCD" w14:textId="77777777" w:rsidR="00836345" w:rsidRPr="00DE6162" w:rsidRDefault="00836345" w:rsidP="007313E1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0919851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3C8D2408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DAC2120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1F7F706A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a  poľnohospodárstva</w:t>
            </w:r>
          </w:p>
          <w:p w14:paraId="7708574A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609A859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 (t. j. ktoré sú vylúčené z podpory), sú oprávnené len v tom prípade, ak takýto projekt nebol schválený v rámci Stratégie CLLD, časť PRV, o čom žiadateľ predkladá čestné vyhlásenie. Vnútorné vybavenie ubytovacích zariadení je neoprávneným výdavkom.</w:t>
            </w:r>
          </w:p>
          <w:p w14:paraId="0B8C188E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896B83C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926958F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08447EE5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C4D8E7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8C1FB3A" w14:textId="77777777" w:rsidR="00836345" w:rsidRPr="00DE6162" w:rsidRDefault="00836345" w:rsidP="007313E1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36345" w:rsidRPr="00DE6162" w14:paraId="32C8696A" w14:textId="77777777" w:rsidTr="007313E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EF4F76" w14:textId="77777777" w:rsidR="00836345" w:rsidRPr="00DE6162" w:rsidRDefault="00836345" w:rsidP="007313E1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36345" w:rsidRPr="00DE6162" w14:paraId="3F0853B7" w14:textId="77777777" w:rsidTr="007313E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D80D19D" w14:textId="77777777" w:rsidR="00836345" w:rsidRPr="00DE6162" w:rsidRDefault="00836345" w:rsidP="007313E1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1F64029" w14:textId="77777777" w:rsidR="00836345" w:rsidRPr="00DE6162" w:rsidRDefault="00836345" w:rsidP="007313E1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36345" w:rsidRPr="00DE6162" w14:paraId="7CB8B980" w14:textId="77777777" w:rsidTr="007313E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D805FC2" w14:textId="77777777" w:rsidR="00836345" w:rsidRPr="00DE6162" w:rsidRDefault="00836345" w:rsidP="007313E1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0E66BE0" w14:textId="77777777" w:rsidR="00836345" w:rsidRPr="00DE6162" w:rsidRDefault="00836345" w:rsidP="007313E1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22C50E0C" w14:textId="77777777" w:rsidR="00836345" w:rsidRPr="00DE6162" w:rsidRDefault="00836345" w:rsidP="007313E1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stavieb,</w:t>
            </w:r>
          </w:p>
        </w:tc>
      </w:tr>
      <w:tr w:rsidR="00836345" w:rsidRPr="00DE6162" w14:paraId="31857C1F" w14:textId="77777777" w:rsidTr="007313E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B1525B" w14:textId="77777777" w:rsidR="00836345" w:rsidRPr="00DE6162" w:rsidRDefault="00836345" w:rsidP="007313E1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B1500B" w14:textId="77777777" w:rsidR="00836345" w:rsidRPr="00DE6162" w:rsidRDefault="00836345" w:rsidP="007313E1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43586773" w14:textId="77777777" w:rsidR="00836345" w:rsidRPr="00DE6162" w:rsidRDefault="00836345" w:rsidP="007313E1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836345" w:rsidRPr="00DE6162" w14:paraId="080CC934" w14:textId="77777777" w:rsidTr="007313E1">
        <w:trPr>
          <w:trHeight w:val="354"/>
        </w:trPr>
        <w:tc>
          <w:tcPr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F786D4" w14:textId="77777777" w:rsidR="00836345" w:rsidRPr="00DE6162" w:rsidRDefault="00836345" w:rsidP="007313E1">
            <w:pPr>
              <w:pStyle w:val="Default"/>
              <w:widowControl w:val="0"/>
              <w:ind w:left="85" w:right="8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AFC5D7C" w14:textId="77777777" w:rsidR="00836345" w:rsidRPr="00F823FC" w:rsidRDefault="00836345" w:rsidP="007313E1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>nákup automobilov a iných dopravných prostriedkov</w:t>
            </w:r>
          </w:p>
          <w:p w14:paraId="3E9B6285" w14:textId="77777777" w:rsidR="00836345" w:rsidRPr="00F823FC" w:rsidRDefault="00836345" w:rsidP="007313E1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  <w:p w14:paraId="6A1F678C" w14:textId="77777777" w:rsidR="00836345" w:rsidRPr="00F823FC" w:rsidRDefault="00836345" w:rsidP="007313E1">
            <w:pPr>
              <w:pStyle w:val="Default"/>
              <w:widowControl w:val="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  <w:t>Nákup automobilov je oprávnený v prípade, ak:</w:t>
            </w:r>
          </w:p>
          <w:p w14:paraId="51D460E4" w14:textId="77777777" w:rsidR="00836345" w:rsidRPr="00F823FC" w:rsidRDefault="00836345" w:rsidP="00836345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8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priamo naviazaný na ciele projektu a jeho používanie je priamym predmetom činnosti projektu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5B95EE68" w14:textId="77777777" w:rsidR="00836345" w:rsidRPr="00DC7275" w:rsidRDefault="00836345" w:rsidP="00836345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7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je nepriamo naviazaný na ciele projektu, t j. nie je hlavným, ale je podporným nástrojom predmetu činnosti projektu</w:t>
            </w:r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pričom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 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musia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byť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kumulatívne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splnené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nasledovné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podmienky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:</w:t>
            </w:r>
          </w:p>
          <w:p w14:paraId="21E7F4FC" w14:textId="77777777" w:rsidR="00836345" w:rsidRPr="00DC7275" w:rsidRDefault="00836345" w:rsidP="00836345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aj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výdavky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previazané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hlavnými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nástrojmi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služieb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</w:p>
          <w:p w14:paraId="5AAE1BEC" w14:textId="77777777" w:rsidR="00836345" w:rsidRPr="00DC7275" w:rsidRDefault="00836345" w:rsidP="00836345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priamo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podporuje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produkt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výrobkov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),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ktorý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 je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účelný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vzťahu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k 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cieľom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je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takéhoto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typu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) a/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nevyhnutný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poskytovanie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služby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výrobku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v 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cielenej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kvalite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)                     </w:t>
            </w:r>
          </w:p>
          <w:p w14:paraId="6472054C" w14:textId="77777777" w:rsidR="00836345" w:rsidRPr="00DC7275" w:rsidRDefault="00836345" w:rsidP="00836345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je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špeciálne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prispôsobený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tento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t.j.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ide o 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vozidlo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ma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prepravný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priestor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prevoz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potrebných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nástrojov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ktoré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sú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hlavným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predmetom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činnosti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projektu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</w:p>
          <w:p w14:paraId="05422947" w14:textId="77777777" w:rsidR="00836345" w:rsidRDefault="00836345" w:rsidP="007313E1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56363526" w14:textId="77777777" w:rsidR="00836345" w:rsidRPr="00F823FC" w:rsidRDefault="00836345" w:rsidP="007313E1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>Oprávnené typy vozidiel:  úžitkové vozidlá</w:t>
            </w:r>
            <w:r w:rsidRPr="00F823FC">
              <w:rPr>
                <w:rStyle w:val="Odkaznapoznmkupodiarou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footnoteReference w:id="3"/>
            </w:r>
            <w:r w:rsidRPr="00F823F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  <w:t xml:space="preserve"> </w:t>
            </w:r>
          </w:p>
          <w:p w14:paraId="78A1E105" w14:textId="77777777" w:rsidR="00836345" w:rsidRPr="00DC7275" w:rsidRDefault="00836345" w:rsidP="007313E1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Úžitkové vozidlo na účely oprávnenosti nákupu automobilov v rámci aktivity A1  predstavuje  motorové vozidlo a jeho prípojné vozidlo alebo náves, ktoré sa používajú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 xml:space="preserve">najmä na prepravu tovaru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alebo cestujúcich 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  <w:t>na komerčné účely</w:t>
            </w:r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napr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doprava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vlastné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potreby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iné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podnikateľské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účely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  <w:p w14:paraId="7542846F" w14:textId="77777777" w:rsidR="00836345" w:rsidRPr="00F823FC" w:rsidRDefault="00836345" w:rsidP="007313E1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Za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oprávnené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automobily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sa</w:t>
            </w: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 xml:space="preserve"> považujú najmä nasledovné úžitkové vozidlá:</w:t>
            </w:r>
          </w:p>
          <w:p w14:paraId="13DF8DD6" w14:textId="77777777" w:rsidR="00836345" w:rsidRPr="00F823FC" w:rsidRDefault="00836345" w:rsidP="00836345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 konštruované najmä na prepravu osôb a ich batožiny s viac než ôsmimi miestami na sedenie okrem miesta na sedenie vodiča;</w:t>
            </w:r>
          </w:p>
          <w:p w14:paraId="025119CC" w14:textId="77777777" w:rsidR="00836345" w:rsidRPr="00DC7275" w:rsidRDefault="00836345" w:rsidP="00836345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t>motorové vozidlá navrhnuté a konštruované najmä na pre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pravu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tovarov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a/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alebo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nákladu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, s 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do 3,5 tony; </w:t>
            </w:r>
          </w:p>
          <w:p w14:paraId="7C574C6C" w14:textId="77777777" w:rsidR="00836345" w:rsidRDefault="00836345" w:rsidP="00836345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motorové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vozidlá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navrhnuté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konštruované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najmä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prepravu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tovaru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s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celkovou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hmotnosťou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presahujúcou</w:t>
            </w:r>
            <w:proofErr w:type="spellEnd"/>
            <w:r w:rsidRPr="00DC727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3,5 tony;</w:t>
            </w:r>
          </w:p>
          <w:p w14:paraId="3C1BB69C" w14:textId="77777777" w:rsidR="00836345" w:rsidRPr="00F823FC" w:rsidRDefault="00836345" w:rsidP="00836345">
            <w:pPr>
              <w:pStyle w:val="Odsekzoznamu"/>
              <w:numPr>
                <w:ilvl w:val="0"/>
                <w:numId w:val="14"/>
              </w:numPr>
              <w:spacing w:before="120"/>
              <w:ind w:left="924" w:hanging="357"/>
              <w:rPr>
                <w:rFonts w:asciiTheme="minorHAnsi" w:hAnsiTheme="minorHAnsi" w:cstheme="minorHAnsi"/>
                <w:bCs/>
                <w:sz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sz w:val="20"/>
                <w:lang w:val="sk-SK"/>
              </w:rPr>
              <w:t>prípojné vozidlá navrhnuté a konštruované na prepravu tovaru alebo osôb, ako aj na ubytovanie osôb, s celkovou hmotnosťou do 3,5 tony;</w:t>
            </w:r>
          </w:p>
          <w:p w14:paraId="0E395451" w14:textId="77777777" w:rsidR="00836345" w:rsidRPr="00F823FC" w:rsidRDefault="00836345" w:rsidP="00836345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  <w:lastRenderedPageBreak/>
              <w:t xml:space="preserve">prípojné vozidlá navrhnuté a konštruované na prepravu tovaru alebo osôb, ako aj na ubytovanie osôb, s celkovou hmotnosťou presahujúcou 3,5 tony </w:t>
            </w:r>
          </w:p>
          <w:p w14:paraId="48647281" w14:textId="77777777" w:rsidR="00836345" w:rsidRPr="00F823FC" w:rsidRDefault="00836345" w:rsidP="007313E1">
            <w:pPr>
              <w:pStyle w:val="Default"/>
              <w:widowControl w:val="0"/>
              <w:spacing w:before="120"/>
              <w:ind w:right="85"/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highlight w:val="yellow"/>
                <w:lang w:val="sk-SK"/>
              </w:rPr>
              <w:t xml:space="preserve">  </w:t>
            </w:r>
          </w:p>
          <w:p w14:paraId="508998DA" w14:textId="77777777" w:rsidR="00836345" w:rsidRPr="00F823FC" w:rsidRDefault="00836345" w:rsidP="007313E1">
            <w:pPr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r w:rsidRPr="00F823FC">
              <w:rPr>
                <w:rFonts w:asciiTheme="minorHAnsi" w:hAnsiTheme="minorHAnsi" w:cstheme="minorHAnsi"/>
                <w:b/>
                <w:sz w:val="20"/>
                <w:lang w:val="sk-SK"/>
              </w:rPr>
              <w:t xml:space="preserve">  </w:t>
            </w:r>
            <w:r w:rsidRPr="00F823FC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  <w:t>Nákup iných dopravných prostriedkov  je oprávnený  v prípade, ak ide o:</w:t>
            </w:r>
          </w:p>
          <w:p w14:paraId="49B9C2CE" w14:textId="77777777" w:rsidR="00836345" w:rsidRPr="00F823FC" w:rsidRDefault="00836345" w:rsidP="00836345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dopravné prostriedky, ktoré majú </w:t>
            </w:r>
            <w:r w:rsidRPr="00F823FC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k-SK"/>
              </w:rPr>
              <w:t>špeciálny účel</w:t>
            </w:r>
            <w:r w:rsidRPr="00F823FC"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  <w:t xml:space="preserve"> (napr. odťahové vozidlo, atď.)</w:t>
            </w:r>
          </w:p>
          <w:p w14:paraId="767329FB" w14:textId="77777777" w:rsidR="00836345" w:rsidRPr="00DC7275" w:rsidRDefault="00836345" w:rsidP="00836345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nákladné</w:t>
            </w:r>
            <w:proofErr w:type="spellEnd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vozidlá</w:t>
            </w:r>
            <w:proofErr w:type="spellEnd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určené</w:t>
            </w:r>
            <w:proofErr w:type="spellEnd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</w:t>
            </w:r>
            <w:proofErr w:type="spellEnd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prepravu</w:t>
            </w:r>
            <w:proofErr w:type="spellEnd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materiálu</w:t>
            </w:r>
            <w:proofErr w:type="spellEnd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alebo</w:t>
            </w:r>
            <w:proofErr w:type="spellEnd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tovaru</w:t>
            </w:r>
            <w:proofErr w:type="spellEnd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 </w:t>
            </w:r>
            <w:proofErr w:type="spellStart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účely</w:t>
            </w:r>
            <w:proofErr w:type="spellEnd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žiadateľa</w:t>
            </w:r>
            <w:proofErr w:type="spellEnd"/>
            <w:r w:rsidRPr="00DC727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</w:t>
            </w:r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ákup</w:t>
            </w:r>
            <w:proofErr w:type="spellEnd"/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vozidiel </w:t>
            </w:r>
            <w:proofErr w:type="spellStart"/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cestnej</w:t>
            </w:r>
            <w:proofErr w:type="spellEnd"/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nákladnej</w:t>
            </w:r>
            <w:proofErr w:type="spellEnd"/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dopravy</w:t>
            </w:r>
            <w:proofErr w:type="spellEnd"/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pre </w:t>
            </w:r>
            <w:proofErr w:type="spellStart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žiadateľov</w:t>
            </w:r>
            <w:proofErr w:type="spellEnd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ktorí</w:t>
            </w:r>
            <w:proofErr w:type="spellEnd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pôsobia</w:t>
            </w:r>
            <w:proofErr w:type="spellEnd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v </w:t>
            </w:r>
            <w:proofErr w:type="spellStart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oblasti</w:t>
            </w:r>
            <w:proofErr w:type="spellEnd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cestnej</w:t>
            </w:r>
            <w:proofErr w:type="spellEnd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nákladnej</w:t>
            </w:r>
            <w:proofErr w:type="spellEnd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>dopravy</w:t>
            </w:r>
            <w:proofErr w:type="spellEnd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nie</w:t>
            </w:r>
            <w:proofErr w:type="spellEnd"/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 xml:space="preserve"> je </w:t>
            </w:r>
            <w:proofErr w:type="spellStart"/>
            <w:r w:rsidRPr="00DC727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</w:rPr>
              <w:t>oprávnený</w:t>
            </w:r>
            <w:proofErr w:type="spellEnd"/>
            <w:r w:rsidRPr="00DC727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</w:rPr>
              <w:t xml:space="preserve">. </w:t>
            </w:r>
          </w:p>
          <w:p w14:paraId="3B1E7786" w14:textId="77777777" w:rsidR="00836345" w:rsidRPr="00DC7275" w:rsidRDefault="00836345" w:rsidP="007313E1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sk-SK"/>
              </w:rPr>
            </w:pPr>
          </w:p>
          <w:p w14:paraId="1ADC148B" w14:textId="77777777" w:rsidR="00836345" w:rsidRPr="00F823FC" w:rsidRDefault="00836345" w:rsidP="007313E1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</w:p>
        </w:tc>
      </w:tr>
      <w:tr w:rsidR="00836345" w:rsidRPr="00DE6162" w14:paraId="3738E355" w14:textId="77777777" w:rsidTr="007313E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D8F85E9" w14:textId="77777777" w:rsidR="00836345" w:rsidRPr="00DE6162" w:rsidRDefault="00836345" w:rsidP="007313E1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029 -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13A6D" w14:textId="77777777" w:rsidR="00836345" w:rsidRPr="00DE6162" w:rsidRDefault="00836345" w:rsidP="007313E1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4DFB27F6" w14:textId="77777777" w:rsidR="00836345" w:rsidRPr="00DE6162" w:rsidRDefault="00836345" w:rsidP="007313E1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836345" w:rsidRPr="00DE6162" w14:paraId="362B179D" w14:textId="77777777" w:rsidTr="007313E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75FAFD" w14:textId="77777777" w:rsidR="00836345" w:rsidRPr="00DE6162" w:rsidRDefault="00836345" w:rsidP="007313E1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2A7DD8" w14:textId="77777777" w:rsidR="00836345" w:rsidRPr="00DE6162" w:rsidRDefault="00836345" w:rsidP="007313E1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7A2AC1AC" w14:textId="77777777" w:rsidR="00836345" w:rsidRPr="00DE6162" w:rsidRDefault="00836345" w:rsidP="007313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554ED94" w14:textId="77777777" w:rsidR="00836345" w:rsidRPr="00DE6162" w:rsidRDefault="00836345" w:rsidP="007313E1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45BDE793" w14:textId="77777777" w:rsidR="00856D01" w:rsidRPr="009B0208" w:rsidRDefault="00856D01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45D9" w14:textId="77777777" w:rsidR="00FA60A1" w:rsidRDefault="00FA60A1" w:rsidP="007900C1">
      <w:r>
        <w:separator/>
      </w:r>
    </w:p>
  </w:endnote>
  <w:endnote w:type="continuationSeparator" w:id="0">
    <w:p w14:paraId="3BEA04F7" w14:textId="77777777" w:rsidR="00FA60A1" w:rsidRDefault="00FA60A1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1932" w14:textId="77777777" w:rsidR="00993A56" w:rsidRDefault="00993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22AF78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HE3gEAAB0EAAAOAAAAZHJzL2Uyb0RvYy54bWysU01v1DAQvSPxHyzf2XzsqoJosz20Khc+&#10;KijcXWe8seQv2e4m++8Z29m0AgQSIgcrHs+8ee95vL+etSIn8EFa09NmU1MChttBmmNPvz3cvXlL&#10;SYjMDExZAz09Q6DXh9ev9pProLWjVQN4giAmdJPr6Rij66oq8BE0CxvrwOChsF6ziFt/rAbPJkTX&#10;qmrr+qqarB+ctxxCwOhtOaSHjC8E8PhZiACRqJ4it5hXn9fHtFaHPeuOnrlR8oUG+wcWmkmDTVeo&#10;WxYZefLyFygtubfBirjhVldWCMkha0A1Tf2Tmq8jc5C1oDnBrTaF/wfLP51uzL1HGyYXuuDufVIx&#10;C6+JUNJ9xzvNupApmbNt59U2mCPhGHzXNG1TbynheLZrdu022VoVmATnfIjvwWqSfnqqpEmqWMdO&#10;H0IsqZeUFFYmrcEqOdxJpfImzQPcKE9ODG8yzm0GUE/6ox1K7KrGr9wnhvHWS3h3CSOfPFUJJbN7&#10;0QDPUtPq2YP8F88KCqEvIIgcUOs2912BSg/GOZi4W1Qrg9mpTCD5tbD+e+GSn0ohj+5aXNT+seta&#10;kTtbE9diLY31v+se52ahLEr+xYGiO1nwaIdzno5sDc5gdm55L2nIX+5z+fOrPvwAAAD//wMAUEsD&#10;BBQABgAIAAAAIQAlS3eq3wAAAAgBAAAPAAAAZHJzL2Rvd25yZXYueG1sTI/NTsMwEITvSLyDtUjc&#10;qNPQ8hOyqRBSBUI1UgsSVzfeJhHxOordNPD0OCc4zs5q5pt8NdpWDNT7xjHCfJaAIC6dabhC+Hhf&#10;X92B8EGz0a1jQvgmD6vi/CzXmXEn3tKwC5WIIewzjVCH0GVS+rImq/3MdcTRO7je6hBlX0nT61MM&#10;t61Mk+RGWt1wbKh1R081lV+7o0VwQ6c2z+rl87BW25/bt0TJ+atCvLwYHx9ABBrD3zNM+BEdisi0&#10;d0c2XrQIE3iI5/u4aLIX14sUxB4hXS5BFrn8P6D4BQAA//8DAFBLAQItABQABgAIAAAAIQC2gziS&#10;/gAAAOEBAAATAAAAAAAAAAAAAAAAAAAAAABbQ29udGVudF9UeXBlc10ueG1sUEsBAi0AFAAGAAgA&#10;AAAhADj9If/WAAAAlAEAAAsAAAAAAAAAAAAAAAAALwEAAF9yZWxzLy5yZWxzUEsBAi0AFAAGAAgA&#10;AAAhAJjcwcTeAQAAHQQAAA4AAAAAAAAAAAAAAAAALgIAAGRycy9lMm9Eb2MueG1sUEsBAi0AFAAG&#10;AAgAAAAhACVLd6rfAAAACAEAAA8AAAAAAAAAAAAAAAAAOAQAAGRycy9kb3ducmV2LnhtbFBLBQYA&#10;AAAABAAEAPMAAABEBQAAAAA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1DC5">
          <w:rPr>
            <w:noProof/>
          </w:rPr>
          <w:t>4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CE61" w14:textId="77777777" w:rsidR="00993A56" w:rsidRDefault="00993A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CA1B9" w14:textId="77777777" w:rsidR="00FA60A1" w:rsidRDefault="00FA60A1" w:rsidP="007900C1">
      <w:r>
        <w:separator/>
      </w:r>
    </w:p>
  </w:footnote>
  <w:footnote w:type="continuationSeparator" w:id="0">
    <w:p w14:paraId="3B7E9ED4" w14:textId="77777777" w:rsidR="00FA60A1" w:rsidRDefault="00FA60A1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E795E4C" w14:textId="77777777" w:rsidR="00836345" w:rsidRDefault="00836345" w:rsidP="0083634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  <w:footnote w:id="3">
    <w:p w14:paraId="012355F7" w14:textId="77777777" w:rsidR="00836345" w:rsidRDefault="00836345" w:rsidP="00836345">
      <w:pPr>
        <w:pStyle w:val="Textpoznmkypodiarou"/>
      </w:pPr>
      <w:r>
        <w:rPr>
          <w:rStyle w:val="Odkaznapoznmkupodiarou"/>
        </w:rPr>
        <w:footnoteRef/>
      </w:r>
      <w:r>
        <w:t xml:space="preserve"> Automobily patriace do kategórie vozidiel M1, bližšie identifikované v rámci prílohy č. 1 Nariadenia </w:t>
      </w:r>
      <w:r w:rsidRPr="002A2A2D">
        <w:t>Európskeho parlamentu a Rady (EÚ) 2018/858 z</w:t>
      </w:r>
      <w:r>
        <w:t>o dňa</w:t>
      </w:r>
      <w:r w:rsidRPr="002A2A2D">
        <w:t xml:space="preserve"> 30.</w:t>
      </w:r>
      <w:r>
        <w:t>05.</w:t>
      </w:r>
      <w:r w:rsidRPr="00213B94">
        <w:t>2018 (</w:t>
      </w:r>
      <w:r w:rsidRPr="00E66969">
        <w:rPr>
          <w:rFonts w:cstheme="minorHAnsi"/>
          <w:bCs/>
          <w:szCs w:val="19"/>
        </w:rPr>
        <w:t>sedany, kabriolety, kombi ...), sú v rámci predmetnej aktivity A1  neoprávnené typy vozidiel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4455" w14:textId="77777777" w:rsidR="00993A56" w:rsidRDefault="00993A5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1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60A" w14:textId="63B52E41" w:rsidR="00A76425" w:rsidRDefault="00993A56" w:rsidP="00437D9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6DB31E6D" wp14:editId="5B09574C">
          <wp:simplePos x="0" y="0"/>
          <wp:positionH relativeFrom="column">
            <wp:posOffset>1833245</wp:posOffset>
          </wp:positionH>
          <wp:positionV relativeFrom="paragraph">
            <wp:posOffset>-84455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val="en-GB" w:eastAsia="en-GB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19430">
    <w:abstractNumId w:val="1"/>
  </w:num>
  <w:num w:numId="2" w16cid:durableId="930939925">
    <w:abstractNumId w:val="1"/>
  </w:num>
  <w:num w:numId="3" w16cid:durableId="1832327858">
    <w:abstractNumId w:val="0"/>
  </w:num>
  <w:num w:numId="4" w16cid:durableId="1659457573">
    <w:abstractNumId w:val="6"/>
  </w:num>
  <w:num w:numId="5" w16cid:durableId="506216568">
    <w:abstractNumId w:val="11"/>
  </w:num>
  <w:num w:numId="6" w16cid:durableId="1051465501">
    <w:abstractNumId w:val="12"/>
  </w:num>
  <w:num w:numId="7" w16cid:durableId="1073429557">
    <w:abstractNumId w:val="10"/>
  </w:num>
  <w:num w:numId="8" w16cid:durableId="1519273947">
    <w:abstractNumId w:val="2"/>
  </w:num>
  <w:num w:numId="9" w16cid:durableId="349337334">
    <w:abstractNumId w:val="5"/>
  </w:num>
  <w:num w:numId="10" w16cid:durableId="1055739929">
    <w:abstractNumId w:val="4"/>
  </w:num>
  <w:num w:numId="11" w16cid:durableId="854880222">
    <w:abstractNumId w:val="3"/>
  </w:num>
  <w:num w:numId="12" w16cid:durableId="1840390527">
    <w:abstractNumId w:val="8"/>
  </w:num>
  <w:num w:numId="13" w16cid:durableId="1017074893">
    <w:abstractNumId w:val="9"/>
  </w:num>
  <w:num w:numId="14" w16cid:durableId="1901868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39F3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51BAD"/>
    <w:rsid w:val="001663AC"/>
    <w:rsid w:val="001770B0"/>
    <w:rsid w:val="001A66A4"/>
    <w:rsid w:val="001B4D56"/>
    <w:rsid w:val="001C297B"/>
    <w:rsid w:val="001E00B0"/>
    <w:rsid w:val="001F08C9"/>
    <w:rsid w:val="00211CD0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72040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77F35"/>
    <w:rsid w:val="005A67D1"/>
    <w:rsid w:val="005E412A"/>
    <w:rsid w:val="00691155"/>
    <w:rsid w:val="006C0D2C"/>
    <w:rsid w:val="006E0BA1"/>
    <w:rsid w:val="006E2C53"/>
    <w:rsid w:val="006F416A"/>
    <w:rsid w:val="00707EA7"/>
    <w:rsid w:val="007178B7"/>
    <w:rsid w:val="00722D6C"/>
    <w:rsid w:val="00732593"/>
    <w:rsid w:val="00746BAE"/>
    <w:rsid w:val="007723AE"/>
    <w:rsid w:val="00773273"/>
    <w:rsid w:val="007900C1"/>
    <w:rsid w:val="00791038"/>
    <w:rsid w:val="00796060"/>
    <w:rsid w:val="007A1D28"/>
    <w:rsid w:val="007C283F"/>
    <w:rsid w:val="00836345"/>
    <w:rsid w:val="008563D7"/>
    <w:rsid w:val="00856D01"/>
    <w:rsid w:val="008756EC"/>
    <w:rsid w:val="00880DAE"/>
    <w:rsid w:val="00884FC7"/>
    <w:rsid w:val="00895F57"/>
    <w:rsid w:val="008B23B9"/>
    <w:rsid w:val="008C0AF9"/>
    <w:rsid w:val="008C0C85"/>
    <w:rsid w:val="00910377"/>
    <w:rsid w:val="00924CB1"/>
    <w:rsid w:val="00930BC1"/>
    <w:rsid w:val="00937035"/>
    <w:rsid w:val="009662B4"/>
    <w:rsid w:val="009670EF"/>
    <w:rsid w:val="00985014"/>
    <w:rsid w:val="00991D6C"/>
    <w:rsid w:val="00993A56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B7EC3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B346A"/>
    <w:rsid w:val="00DD6BA2"/>
    <w:rsid w:val="00E10467"/>
    <w:rsid w:val="00E20668"/>
    <w:rsid w:val="00E25773"/>
    <w:rsid w:val="00E64C0E"/>
    <w:rsid w:val="00ED21AB"/>
    <w:rsid w:val="00F050EA"/>
    <w:rsid w:val="00F246B5"/>
    <w:rsid w:val="00F51DC5"/>
    <w:rsid w:val="00F64E2F"/>
    <w:rsid w:val="00FA1257"/>
    <w:rsid w:val="00FA60A1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4D8962FC-8096-45A4-A69A-BAE99109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3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CD6E0-A259-4F87-AEFB-8621E3CD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Audentes</cp:lastModifiedBy>
  <cp:revision>5</cp:revision>
  <dcterms:created xsi:type="dcterms:W3CDTF">2023-05-16T16:31:00Z</dcterms:created>
  <dcterms:modified xsi:type="dcterms:W3CDTF">2023-06-28T12:05:00Z</dcterms:modified>
</cp:coreProperties>
</file>